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CellMar>
          <w:left w:w="0" w:type="dxa"/>
          <w:right w:w="0" w:type="dxa"/>
        </w:tblCellMar>
        <w:tblLook w:val="04A0" w:firstRow="1" w:lastRow="0" w:firstColumn="1" w:lastColumn="0" w:noHBand="0" w:noVBand="1"/>
      </w:tblPr>
      <w:tblGrid>
        <w:gridCol w:w="2931"/>
        <w:gridCol w:w="2931"/>
        <w:gridCol w:w="3636"/>
      </w:tblGrid>
      <w:tr w:rsidR="00DD4CDB" w:rsidRPr="00DD4CDB" w14:paraId="7F4B129E" w14:textId="77777777" w:rsidTr="00DD4CD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3BE6A3D" w14:textId="77777777" w:rsidR="00DD4CDB" w:rsidRPr="00DD4CDB" w:rsidRDefault="00DD4CDB" w:rsidP="00DD4CDB">
            <w:pPr>
              <w:spacing w:after="0" w:line="240" w:lineRule="atLeast"/>
              <w:rPr>
                <w:rFonts w:ascii="&amp;quot" w:eastAsia="Times New Roman" w:hAnsi="&amp;quot" w:cs="Times New Roman"/>
                <w:color w:val="000000"/>
                <w:lang w:eastAsia="tr-TR"/>
              </w:rPr>
            </w:pPr>
            <w:r w:rsidRPr="00DD4CDB">
              <w:rPr>
                <w:rFonts w:ascii="Arial" w:eastAsia="Times New Roman" w:hAnsi="Arial" w:cs="Arial"/>
                <w:color w:val="000000"/>
                <w:lang w:eastAsia="tr-TR"/>
              </w:rPr>
              <w:t>15 Nisan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AFE961B" w14:textId="77777777" w:rsidR="00DD4CDB" w:rsidRPr="00DD4CDB" w:rsidRDefault="00DD4CDB" w:rsidP="00DD4CDB">
            <w:pPr>
              <w:spacing w:after="0" w:line="240" w:lineRule="atLeast"/>
              <w:jc w:val="center"/>
              <w:rPr>
                <w:rFonts w:ascii="&amp;quot" w:eastAsia="Times New Roman" w:hAnsi="&amp;quot" w:cs="Times New Roman"/>
                <w:color w:val="000000"/>
                <w:lang w:eastAsia="tr-TR"/>
              </w:rPr>
            </w:pPr>
            <w:r w:rsidRPr="00DD4CDB">
              <w:rPr>
                <w:rFonts w:ascii="&amp;quot" w:eastAsia="Times New Roman" w:hAnsi="&amp;quot" w:cs="Times New Roman"/>
                <w:b/>
                <w:bCs/>
                <w:color w:val="000000"/>
                <w:lang w:eastAsia="tr-TR"/>
              </w:rPr>
              <w:t>Resmî Gazete</w:t>
            </w:r>
          </w:p>
        </w:tc>
        <w:tc>
          <w:tcPr>
            <w:tcW w:w="3636" w:type="dxa"/>
            <w:tcBorders>
              <w:top w:val="nil"/>
              <w:left w:val="nil"/>
              <w:bottom w:val="single" w:sz="8" w:space="0" w:color="660066"/>
              <w:right w:val="nil"/>
            </w:tcBorders>
            <w:tcMar>
              <w:top w:w="0" w:type="dxa"/>
              <w:left w:w="108" w:type="dxa"/>
              <w:bottom w:w="0" w:type="dxa"/>
              <w:right w:w="108" w:type="dxa"/>
            </w:tcMar>
            <w:vAlign w:val="center"/>
            <w:hideMark/>
          </w:tcPr>
          <w:p w14:paraId="33D14B86" w14:textId="77777777" w:rsidR="00DD4CDB" w:rsidRPr="00DD4CDB" w:rsidRDefault="00DD4CDB" w:rsidP="00DD4CDB">
            <w:pPr>
              <w:spacing w:before="100" w:beforeAutospacing="1" w:after="100" w:afterAutospacing="1" w:line="240" w:lineRule="auto"/>
              <w:jc w:val="right"/>
              <w:rPr>
                <w:rFonts w:ascii="&amp;quot" w:eastAsia="Times New Roman" w:hAnsi="&amp;quot" w:cs="Times New Roman"/>
                <w:color w:val="000000"/>
                <w:lang w:eastAsia="tr-TR"/>
              </w:rPr>
            </w:pPr>
            <w:proofErr w:type="gramStart"/>
            <w:r w:rsidRPr="00DD4CDB">
              <w:rPr>
                <w:rFonts w:ascii="Arial" w:eastAsia="Times New Roman" w:hAnsi="Arial" w:cs="Arial"/>
                <w:color w:val="000000"/>
                <w:lang w:eastAsia="tr-TR"/>
              </w:rPr>
              <w:t>Sayı :</w:t>
            </w:r>
            <w:proofErr w:type="gramEnd"/>
            <w:r w:rsidRPr="00DD4CDB">
              <w:rPr>
                <w:rFonts w:ascii="Arial" w:eastAsia="Times New Roman" w:hAnsi="Arial" w:cs="Arial"/>
                <w:color w:val="000000"/>
                <w:lang w:eastAsia="tr-TR"/>
              </w:rPr>
              <w:t xml:space="preserve"> 31455</w:t>
            </w:r>
          </w:p>
        </w:tc>
      </w:tr>
      <w:tr w:rsidR="00DD4CDB" w:rsidRPr="00DD4CDB" w14:paraId="32F2FCA1" w14:textId="77777777" w:rsidTr="00DD4CDB">
        <w:trPr>
          <w:trHeight w:val="480"/>
        </w:trPr>
        <w:tc>
          <w:tcPr>
            <w:tcW w:w="9498" w:type="dxa"/>
            <w:gridSpan w:val="3"/>
            <w:tcMar>
              <w:top w:w="0" w:type="dxa"/>
              <w:left w:w="108" w:type="dxa"/>
              <w:bottom w:w="0" w:type="dxa"/>
              <w:right w:w="108" w:type="dxa"/>
            </w:tcMar>
            <w:vAlign w:val="center"/>
            <w:hideMark/>
          </w:tcPr>
          <w:p w14:paraId="7E16276A" w14:textId="77777777" w:rsidR="00DD4CDB" w:rsidRPr="00DD4CDB" w:rsidRDefault="00DD4CDB" w:rsidP="00DD4CDB">
            <w:pPr>
              <w:spacing w:before="100" w:beforeAutospacing="1" w:after="100" w:afterAutospacing="1" w:line="240" w:lineRule="auto"/>
              <w:jc w:val="center"/>
              <w:rPr>
                <w:rFonts w:ascii="&amp;quot" w:eastAsia="Times New Roman" w:hAnsi="&amp;quot" w:cs="Times New Roman"/>
                <w:color w:val="000000"/>
                <w:lang w:eastAsia="tr-TR"/>
              </w:rPr>
            </w:pPr>
            <w:r w:rsidRPr="00DD4CDB">
              <w:rPr>
                <w:rFonts w:ascii="Arial" w:eastAsia="Times New Roman" w:hAnsi="Arial" w:cs="Arial"/>
                <w:b/>
                <w:bCs/>
                <w:color w:val="000080"/>
                <w:lang w:eastAsia="tr-TR"/>
              </w:rPr>
              <w:t>TEBLİĞ</w:t>
            </w:r>
          </w:p>
        </w:tc>
      </w:tr>
      <w:tr w:rsidR="00DD4CDB" w:rsidRPr="00DD4CDB" w14:paraId="67209BB7" w14:textId="77777777" w:rsidTr="00DD4CDB">
        <w:trPr>
          <w:trHeight w:val="480"/>
        </w:trPr>
        <w:tc>
          <w:tcPr>
            <w:tcW w:w="9498" w:type="dxa"/>
            <w:gridSpan w:val="3"/>
            <w:tcMar>
              <w:top w:w="0" w:type="dxa"/>
              <w:left w:w="108" w:type="dxa"/>
              <w:bottom w:w="0" w:type="dxa"/>
              <w:right w:w="108" w:type="dxa"/>
            </w:tcMar>
            <w:vAlign w:val="center"/>
            <w:hideMark/>
          </w:tcPr>
          <w:p w14:paraId="2ED26E5A" w14:textId="77777777" w:rsidR="00DD4CDB" w:rsidRPr="00DD4CDB" w:rsidRDefault="00DD4CDB" w:rsidP="00DD4CDB">
            <w:pPr>
              <w:spacing w:after="0" w:line="240" w:lineRule="atLeast"/>
              <w:ind w:firstLine="566"/>
              <w:jc w:val="both"/>
              <w:rPr>
                <w:rFonts w:ascii="&amp;quot" w:eastAsia="Times New Roman" w:hAnsi="&amp;quot" w:cs="Times New Roman"/>
                <w:color w:val="000000"/>
                <w:u w:val="single"/>
                <w:lang w:eastAsia="tr-TR"/>
              </w:rPr>
            </w:pPr>
            <w:r w:rsidRPr="00DD4CDB">
              <w:rPr>
                <w:rFonts w:ascii="&amp;quot" w:eastAsia="Times New Roman" w:hAnsi="&amp;quot" w:cs="Times New Roman"/>
                <w:color w:val="000000"/>
                <w:u w:val="single"/>
                <w:lang w:eastAsia="tr-TR"/>
              </w:rPr>
              <w:t>Ticaret Bakanlığından:</w:t>
            </w:r>
          </w:p>
          <w:p w14:paraId="59E03F92" w14:textId="1A56E6EF" w:rsidR="00DD4CDB" w:rsidRPr="00DD4CDB" w:rsidRDefault="00DD4CDB" w:rsidP="00DD4CDB">
            <w:pPr>
              <w:spacing w:before="56" w:after="0" w:line="240" w:lineRule="atLeast"/>
              <w:jc w:val="center"/>
              <w:rPr>
                <w:rFonts w:ascii="&amp;quot" w:eastAsia="Times New Roman" w:hAnsi="&amp;quot" w:cs="Times New Roman"/>
                <w:b/>
                <w:bCs/>
                <w:color w:val="000000"/>
                <w:lang w:eastAsia="tr-TR"/>
              </w:rPr>
            </w:pPr>
            <w:r w:rsidRPr="00DD4CDB">
              <w:rPr>
                <w:rFonts w:ascii="&amp;quot" w:eastAsia="Times New Roman" w:hAnsi="&amp;quot" w:cs="Times New Roman"/>
                <w:b/>
                <w:bCs/>
                <w:color w:val="000000"/>
                <w:lang w:eastAsia="tr-TR"/>
              </w:rPr>
              <w:t>GÜMRÜK GENEL TEBLİĞİ (VARIŞ ÖNCESİ GÜMRÜK İŞLEMLERİ)</w:t>
            </w:r>
            <w:r>
              <w:rPr>
                <w:rFonts w:ascii="&amp;quot" w:eastAsia="Times New Roman" w:hAnsi="&amp;quot" w:cs="Times New Roman"/>
                <w:b/>
                <w:bCs/>
                <w:color w:val="000000"/>
                <w:lang w:eastAsia="tr-TR"/>
              </w:rPr>
              <w:t xml:space="preserve"> </w:t>
            </w:r>
          </w:p>
          <w:p w14:paraId="0AF3ABD1" w14:textId="77777777" w:rsidR="00DD4CDB" w:rsidRPr="00DD4CDB" w:rsidRDefault="00DD4CDB" w:rsidP="00DD4CDB">
            <w:pPr>
              <w:spacing w:after="0" w:line="240" w:lineRule="atLeast"/>
              <w:jc w:val="center"/>
              <w:rPr>
                <w:rFonts w:ascii="&amp;quot" w:eastAsia="Times New Roman" w:hAnsi="&amp;quot" w:cs="Times New Roman"/>
                <w:b/>
                <w:bCs/>
                <w:color w:val="000000"/>
                <w:lang w:eastAsia="tr-TR"/>
              </w:rPr>
            </w:pPr>
            <w:r w:rsidRPr="00DD4CDB">
              <w:rPr>
                <w:rFonts w:ascii="&amp;quot" w:eastAsia="Times New Roman" w:hAnsi="&amp;quot" w:cs="Times New Roman"/>
                <w:b/>
                <w:bCs/>
                <w:color w:val="000000"/>
                <w:lang w:eastAsia="tr-TR"/>
              </w:rPr>
              <w:t>(SERİ NO: 1)’NDE DEĞİŞİKLİK YAPILMASINA DAİR TEBLİĞ</w:t>
            </w:r>
          </w:p>
          <w:p w14:paraId="41133A5B" w14:textId="77777777" w:rsidR="00DD4CDB" w:rsidRPr="00DD4CDB" w:rsidRDefault="00DD4CDB" w:rsidP="00DD4CDB">
            <w:pPr>
              <w:spacing w:after="100" w:line="240" w:lineRule="atLeast"/>
              <w:jc w:val="center"/>
              <w:rPr>
                <w:rFonts w:ascii="&amp;quot" w:eastAsia="Times New Roman" w:hAnsi="&amp;quot" w:cs="Times New Roman"/>
                <w:b/>
                <w:bCs/>
                <w:color w:val="000000"/>
                <w:lang w:eastAsia="tr-TR"/>
              </w:rPr>
            </w:pPr>
            <w:r w:rsidRPr="00DD4CDB">
              <w:rPr>
                <w:rFonts w:ascii="&amp;quot" w:eastAsia="Times New Roman" w:hAnsi="&amp;quot" w:cs="Times New Roman"/>
                <w:b/>
                <w:bCs/>
                <w:color w:val="000000"/>
                <w:lang w:eastAsia="tr-TR"/>
              </w:rPr>
              <w:t>(VARIŞ ÖNCESİ GÜMRÜK İŞLEMLERİ) (SERİ NO: 2)</w:t>
            </w:r>
          </w:p>
          <w:p w14:paraId="19B28F33" w14:textId="3C2595FF" w:rsid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b/>
                <w:bCs/>
                <w:color w:val="000000"/>
                <w:lang w:eastAsia="tr-TR"/>
              </w:rPr>
              <w:t xml:space="preserve">MADDE 1 – </w:t>
            </w:r>
            <w:r w:rsidRPr="00DD4CDB">
              <w:rPr>
                <w:rFonts w:ascii="&amp;quot" w:eastAsia="Times New Roman" w:hAnsi="&amp;quot" w:cs="Times New Roman"/>
                <w:color w:val="000000"/>
                <w:lang w:eastAsia="tr-TR"/>
              </w:rPr>
              <w:t xml:space="preserve">23/1/2019 tarihli ve 30664 sayılı Resmî </w:t>
            </w:r>
            <w:proofErr w:type="spellStart"/>
            <w:r w:rsidRPr="00DD4CDB">
              <w:rPr>
                <w:rFonts w:ascii="&amp;quot" w:eastAsia="Times New Roman" w:hAnsi="&amp;quot" w:cs="Times New Roman"/>
                <w:color w:val="000000"/>
                <w:lang w:eastAsia="tr-TR"/>
              </w:rPr>
              <w:t>Gazete’de</w:t>
            </w:r>
            <w:proofErr w:type="spellEnd"/>
            <w:r w:rsidRPr="00DD4CDB">
              <w:rPr>
                <w:rFonts w:ascii="&amp;quot" w:eastAsia="Times New Roman" w:hAnsi="&amp;quot" w:cs="Times New Roman"/>
                <w:color w:val="000000"/>
                <w:lang w:eastAsia="tr-TR"/>
              </w:rPr>
              <w:t xml:space="preserve"> yayımlanan Gümrük Genel Tebliği (Varış Öncesi Gümrük İşlemleri) (Seri No: 1)’</w:t>
            </w:r>
            <w:proofErr w:type="spellStart"/>
            <w:r w:rsidRPr="00DD4CDB">
              <w:rPr>
                <w:rFonts w:ascii="&amp;quot" w:eastAsia="Times New Roman" w:hAnsi="&amp;quot" w:cs="Times New Roman"/>
                <w:color w:val="000000"/>
                <w:lang w:eastAsia="tr-TR"/>
              </w:rPr>
              <w:t>nin</w:t>
            </w:r>
            <w:proofErr w:type="spellEnd"/>
            <w:r w:rsidRPr="00DD4CDB">
              <w:rPr>
                <w:rFonts w:ascii="&amp;quot" w:eastAsia="Times New Roman" w:hAnsi="&amp;quot" w:cs="Times New Roman"/>
                <w:color w:val="000000"/>
                <w:lang w:eastAsia="tr-TR"/>
              </w:rPr>
              <w:t xml:space="preserve"> 1 inci maddesinin birinci fıkrasında yer alan “denizyolu konteyner taşımacılığı” ibaresinden sonra gelmek üzere “veya havayolu taşımacılığı” ibaresi eklenmiştir.</w:t>
            </w:r>
          </w:p>
          <w:p w14:paraId="08F82258"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p>
          <w:p w14:paraId="722C5EB5"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b/>
                <w:bCs/>
                <w:color w:val="000000"/>
                <w:lang w:eastAsia="tr-TR"/>
              </w:rPr>
              <w:t>MADDE 2 –</w:t>
            </w:r>
            <w:r w:rsidRPr="00DD4CDB">
              <w:rPr>
                <w:rFonts w:ascii="&amp;quot" w:eastAsia="Times New Roman" w:hAnsi="&amp;quot" w:cs="Times New Roman"/>
                <w:color w:val="000000"/>
                <w:lang w:eastAsia="tr-TR"/>
              </w:rPr>
              <w:t xml:space="preserve"> Aynı Tebliğin </w:t>
            </w:r>
            <w:proofErr w:type="gramStart"/>
            <w:r w:rsidRPr="00DD4CDB">
              <w:rPr>
                <w:rFonts w:ascii="&amp;quot" w:eastAsia="Times New Roman" w:hAnsi="&amp;quot" w:cs="Times New Roman"/>
                <w:color w:val="000000"/>
                <w:lang w:eastAsia="tr-TR"/>
              </w:rPr>
              <w:t>4 üncü</w:t>
            </w:r>
            <w:proofErr w:type="gramEnd"/>
            <w:r w:rsidRPr="00DD4CDB">
              <w:rPr>
                <w:rFonts w:ascii="&amp;quot" w:eastAsia="Times New Roman" w:hAnsi="&amp;quot" w:cs="Times New Roman"/>
                <w:color w:val="000000"/>
                <w:lang w:eastAsia="tr-TR"/>
              </w:rPr>
              <w:t xml:space="preserve"> maddesinin birinci fıkrasının (a) bendi aşağıdaki şekilde değiştirilmiştir.</w:t>
            </w:r>
          </w:p>
          <w:p w14:paraId="2B3A3506" w14:textId="324A411E" w:rsid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color w:val="000000"/>
                <w:lang w:eastAsia="tr-TR"/>
              </w:rPr>
              <w:t>“</w:t>
            </w:r>
            <w:proofErr w:type="gramStart"/>
            <w:r w:rsidRPr="00DD4CDB">
              <w:rPr>
                <w:rFonts w:ascii="&amp;quot" w:eastAsia="Times New Roman" w:hAnsi="&amp;quot" w:cs="Times New Roman"/>
                <w:color w:val="000000"/>
                <w:lang w:eastAsia="tr-TR"/>
              </w:rPr>
              <w:t>a</w:t>
            </w:r>
            <w:proofErr w:type="gramEnd"/>
            <w:r w:rsidRPr="00DD4CDB">
              <w:rPr>
                <w:rFonts w:ascii="&amp;quot" w:eastAsia="Times New Roman" w:hAnsi="&amp;quot" w:cs="Times New Roman"/>
                <w:color w:val="000000"/>
                <w:lang w:eastAsia="tr-TR"/>
              </w:rPr>
              <w:t>) Türkiye Gümrük Bölgesinde yerleşik olması ve en az üç yıldır faaliyette bulunması.”</w:t>
            </w:r>
          </w:p>
          <w:p w14:paraId="65B0E9BF"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p>
          <w:p w14:paraId="7310F6FA" w14:textId="4F043A06" w:rsid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b/>
                <w:bCs/>
                <w:color w:val="000000"/>
                <w:lang w:eastAsia="tr-TR"/>
              </w:rPr>
              <w:t xml:space="preserve">MADDE 3 – </w:t>
            </w:r>
            <w:r w:rsidRPr="00DD4CDB">
              <w:rPr>
                <w:rFonts w:ascii="&amp;quot" w:eastAsia="Times New Roman" w:hAnsi="&amp;quot" w:cs="Times New Roman"/>
                <w:color w:val="000000"/>
                <w:lang w:eastAsia="tr-TR"/>
              </w:rPr>
              <w:t>Aynı Tebliğin 5 inci maddesinin ikinci fıkrasında yer alan “denizyolu konteyner taşımacılığı” ibaresinden sonra gelmek üzere “veya havayolu taşımacılığı” ibaresi eklenmiştir.</w:t>
            </w:r>
          </w:p>
          <w:p w14:paraId="7032D8C2"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p>
          <w:p w14:paraId="6CDFBFD1"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b/>
                <w:bCs/>
                <w:color w:val="000000"/>
                <w:lang w:eastAsia="tr-TR"/>
              </w:rPr>
              <w:t>MADDE 4 –</w:t>
            </w:r>
            <w:r w:rsidRPr="00DD4CDB">
              <w:rPr>
                <w:rFonts w:ascii="&amp;quot" w:eastAsia="Times New Roman" w:hAnsi="&amp;quot" w:cs="Times New Roman"/>
                <w:color w:val="000000"/>
                <w:lang w:eastAsia="tr-TR"/>
              </w:rPr>
              <w:t xml:space="preserve"> Aynı Tebliğin </w:t>
            </w:r>
            <w:proofErr w:type="gramStart"/>
            <w:r w:rsidRPr="00DD4CDB">
              <w:rPr>
                <w:rFonts w:ascii="&amp;quot" w:eastAsia="Times New Roman" w:hAnsi="&amp;quot" w:cs="Times New Roman"/>
                <w:color w:val="000000"/>
                <w:lang w:eastAsia="tr-TR"/>
              </w:rPr>
              <w:t xml:space="preserve">6 </w:t>
            </w:r>
            <w:proofErr w:type="spellStart"/>
            <w:r w:rsidRPr="00DD4CDB">
              <w:rPr>
                <w:rFonts w:ascii="&amp;quot" w:eastAsia="Times New Roman" w:hAnsi="&amp;quot" w:cs="Times New Roman"/>
                <w:color w:val="000000"/>
                <w:lang w:eastAsia="tr-TR"/>
              </w:rPr>
              <w:t>ncı</w:t>
            </w:r>
            <w:proofErr w:type="spellEnd"/>
            <w:proofErr w:type="gramEnd"/>
            <w:r w:rsidRPr="00DD4CDB">
              <w:rPr>
                <w:rFonts w:ascii="&amp;quot" w:eastAsia="Times New Roman" w:hAnsi="&amp;quot" w:cs="Times New Roman"/>
                <w:color w:val="000000"/>
                <w:lang w:eastAsia="tr-TR"/>
              </w:rPr>
              <w:t xml:space="preserve"> maddesinin birinci fıkrası aşağıdaki şekilde değiştirilmiştir.</w:t>
            </w:r>
          </w:p>
          <w:p w14:paraId="5ECE9D73" w14:textId="69B28FD9" w:rsid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color w:val="000000"/>
                <w:lang w:eastAsia="tr-TR"/>
              </w:rPr>
              <w:t>“(1) Başvurular, başvuru sahibinin ticaret sicili kaydı uyarınca şirket merkezinin bulunduğu ilin bağlı olduğu Gümrük ve Dış Ticaret Bölge Müdürlüğüne yapılır.”</w:t>
            </w:r>
          </w:p>
          <w:p w14:paraId="02455DF7"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p>
          <w:p w14:paraId="377B2D9A"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b/>
                <w:bCs/>
                <w:color w:val="000000"/>
                <w:lang w:eastAsia="tr-TR"/>
              </w:rPr>
              <w:t>MADDE 5 –</w:t>
            </w:r>
            <w:r w:rsidRPr="00DD4CDB">
              <w:rPr>
                <w:rFonts w:ascii="&amp;quot" w:eastAsia="Times New Roman" w:hAnsi="&amp;quot" w:cs="Times New Roman"/>
                <w:color w:val="000000"/>
                <w:lang w:eastAsia="tr-TR"/>
              </w:rPr>
              <w:t xml:space="preserve"> Aynı Tebliğin </w:t>
            </w:r>
            <w:proofErr w:type="gramStart"/>
            <w:r w:rsidRPr="00DD4CDB">
              <w:rPr>
                <w:rFonts w:ascii="&amp;quot" w:eastAsia="Times New Roman" w:hAnsi="&amp;quot" w:cs="Times New Roman"/>
                <w:color w:val="000000"/>
                <w:lang w:eastAsia="tr-TR"/>
              </w:rPr>
              <w:t xml:space="preserve">7 </w:t>
            </w:r>
            <w:proofErr w:type="spellStart"/>
            <w:r w:rsidRPr="00DD4CDB">
              <w:rPr>
                <w:rFonts w:ascii="&amp;quot" w:eastAsia="Times New Roman" w:hAnsi="&amp;quot" w:cs="Times New Roman"/>
                <w:color w:val="000000"/>
                <w:lang w:eastAsia="tr-TR"/>
              </w:rPr>
              <w:t>nci</w:t>
            </w:r>
            <w:proofErr w:type="spellEnd"/>
            <w:proofErr w:type="gramEnd"/>
            <w:r w:rsidRPr="00DD4CDB">
              <w:rPr>
                <w:rFonts w:ascii="&amp;quot" w:eastAsia="Times New Roman" w:hAnsi="&amp;quot" w:cs="Times New Roman"/>
                <w:color w:val="000000"/>
                <w:lang w:eastAsia="tr-TR"/>
              </w:rPr>
              <w:t xml:space="preserve"> maddesinin birinci ve üçüncü fıkraları aşağıdaki şekilde değiştirilmiştir.</w:t>
            </w:r>
          </w:p>
          <w:p w14:paraId="0B914B35"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color w:val="000000"/>
                <w:lang w:eastAsia="tr-TR"/>
              </w:rPr>
              <w:t xml:space="preserve">“(1) </w:t>
            </w:r>
            <w:proofErr w:type="gramStart"/>
            <w:r w:rsidRPr="00DD4CDB">
              <w:rPr>
                <w:rFonts w:ascii="&amp;quot" w:eastAsia="Times New Roman" w:hAnsi="&amp;quot" w:cs="Times New Roman"/>
                <w:color w:val="000000"/>
                <w:lang w:eastAsia="tr-TR"/>
              </w:rPr>
              <w:t xml:space="preserve">6 </w:t>
            </w:r>
            <w:proofErr w:type="spellStart"/>
            <w:r w:rsidRPr="00DD4CDB">
              <w:rPr>
                <w:rFonts w:ascii="&amp;quot" w:eastAsia="Times New Roman" w:hAnsi="&amp;quot" w:cs="Times New Roman"/>
                <w:color w:val="000000"/>
                <w:lang w:eastAsia="tr-TR"/>
              </w:rPr>
              <w:t>ncı</w:t>
            </w:r>
            <w:proofErr w:type="spellEnd"/>
            <w:proofErr w:type="gramEnd"/>
            <w:r w:rsidRPr="00DD4CDB">
              <w:rPr>
                <w:rFonts w:ascii="&amp;quot" w:eastAsia="Times New Roman" w:hAnsi="&amp;quot" w:cs="Times New Roman"/>
                <w:color w:val="000000"/>
                <w:lang w:eastAsia="tr-TR"/>
              </w:rPr>
              <w:t xml:space="preserve"> madde uyarınca yapılan başvurular Genel Müdürlükçe veya Genel Müdürlükçe yetki verilmesi halinde ilgili bölge müdürlüğünce değerlendirilir. Gerekli şartları taşıdığı tespit edilen başvuru sahibinin yetkilendirmesi yapılarak başvuru sahibine bildirilir.”</w:t>
            </w:r>
          </w:p>
          <w:p w14:paraId="5FFEF70F" w14:textId="3A326FF3" w:rsid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color w:val="000000"/>
                <w:lang w:eastAsia="tr-TR"/>
              </w:rPr>
              <w:t xml:space="preserve">“(3) Başvuru sahibinin gerekli şartları taşımadığının tespit edilmesi veya 30 günlük süre içerisinde eksik bilgi ve belgelerin tamamlanmaması halinde başvuru reddedilir ve </w:t>
            </w:r>
            <w:proofErr w:type="spellStart"/>
            <w:r w:rsidRPr="00DD4CDB">
              <w:rPr>
                <w:rFonts w:ascii="&amp;quot" w:eastAsia="Times New Roman" w:hAnsi="&amp;quot" w:cs="Times New Roman"/>
                <w:color w:val="000000"/>
                <w:lang w:eastAsia="tr-TR"/>
              </w:rPr>
              <w:t>red</w:t>
            </w:r>
            <w:proofErr w:type="spellEnd"/>
            <w:r w:rsidRPr="00DD4CDB">
              <w:rPr>
                <w:rFonts w:ascii="&amp;quot" w:eastAsia="Times New Roman" w:hAnsi="&amp;quot" w:cs="Times New Roman"/>
                <w:color w:val="000000"/>
                <w:lang w:eastAsia="tr-TR"/>
              </w:rPr>
              <w:t xml:space="preserve"> kararı gerekçesi </w:t>
            </w:r>
            <w:proofErr w:type="gramStart"/>
            <w:r w:rsidRPr="00DD4CDB">
              <w:rPr>
                <w:rFonts w:ascii="&amp;quot" w:eastAsia="Times New Roman" w:hAnsi="&amp;quot" w:cs="Times New Roman"/>
                <w:color w:val="000000"/>
                <w:lang w:eastAsia="tr-TR"/>
              </w:rPr>
              <w:t>ile birlikte</w:t>
            </w:r>
            <w:proofErr w:type="gramEnd"/>
            <w:r w:rsidRPr="00DD4CDB">
              <w:rPr>
                <w:rFonts w:ascii="&amp;quot" w:eastAsia="Times New Roman" w:hAnsi="&amp;quot" w:cs="Times New Roman"/>
                <w:color w:val="000000"/>
                <w:lang w:eastAsia="tr-TR"/>
              </w:rPr>
              <w:t xml:space="preserve"> başvuru sahibine bildirilir.”</w:t>
            </w:r>
          </w:p>
          <w:p w14:paraId="3BFD7EFE"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p>
          <w:p w14:paraId="5358ED3D"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b/>
                <w:bCs/>
                <w:color w:val="000000"/>
                <w:lang w:eastAsia="tr-TR"/>
              </w:rPr>
              <w:t>MADDE 6 –</w:t>
            </w:r>
            <w:r w:rsidRPr="00DD4CDB">
              <w:rPr>
                <w:rFonts w:ascii="&amp;quot" w:eastAsia="Times New Roman" w:hAnsi="&amp;quot" w:cs="Times New Roman"/>
                <w:color w:val="000000"/>
                <w:lang w:eastAsia="tr-TR"/>
              </w:rPr>
              <w:t xml:space="preserve"> Aynı Tebliğin 8 inci maddesi başlığı </w:t>
            </w:r>
            <w:proofErr w:type="gramStart"/>
            <w:r w:rsidRPr="00DD4CDB">
              <w:rPr>
                <w:rFonts w:ascii="&amp;quot" w:eastAsia="Times New Roman" w:hAnsi="&amp;quot" w:cs="Times New Roman"/>
                <w:color w:val="000000"/>
                <w:lang w:eastAsia="tr-TR"/>
              </w:rPr>
              <w:t>ile birlikte</w:t>
            </w:r>
            <w:proofErr w:type="gramEnd"/>
            <w:r w:rsidRPr="00DD4CDB">
              <w:rPr>
                <w:rFonts w:ascii="&amp;quot" w:eastAsia="Times New Roman" w:hAnsi="&amp;quot" w:cs="Times New Roman"/>
                <w:color w:val="000000"/>
                <w:lang w:eastAsia="tr-TR"/>
              </w:rPr>
              <w:t xml:space="preserve"> aşağıdaki şekilde değiştirilmiştir.</w:t>
            </w:r>
          </w:p>
          <w:p w14:paraId="1592217E"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color w:val="000000"/>
                <w:lang w:eastAsia="tr-TR"/>
              </w:rPr>
              <w:t>“</w:t>
            </w:r>
            <w:r w:rsidRPr="00DD4CDB">
              <w:rPr>
                <w:rFonts w:ascii="&amp;quot" w:eastAsia="Times New Roman" w:hAnsi="&amp;quot" w:cs="Times New Roman"/>
                <w:b/>
                <w:bCs/>
                <w:color w:val="000000"/>
                <w:lang w:eastAsia="tr-TR"/>
              </w:rPr>
              <w:t>İzin süresi, sürenin uzatılması ve iznin iptali</w:t>
            </w:r>
          </w:p>
          <w:p w14:paraId="221B9A92"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b/>
                <w:bCs/>
                <w:color w:val="000000"/>
                <w:lang w:eastAsia="tr-TR"/>
              </w:rPr>
              <w:t xml:space="preserve">MADDE 8 – </w:t>
            </w:r>
            <w:r w:rsidRPr="00DD4CDB">
              <w:rPr>
                <w:rFonts w:ascii="&amp;quot" w:eastAsia="Times New Roman" w:hAnsi="&amp;quot" w:cs="Times New Roman"/>
                <w:color w:val="000000"/>
                <w:lang w:eastAsia="tr-TR"/>
              </w:rPr>
              <w:t xml:space="preserve">(1) İzin süre sonu, iznin verildiği yılı izleyen takvim yılını takip eden üçüncü yılın son günüdür. İzin sahibi tarafından izin süresinin uzatılmasının talep edilmesi halinde iznin sona erdiği yılın Kasım ayı içerisinde </w:t>
            </w:r>
            <w:proofErr w:type="gramStart"/>
            <w:r w:rsidRPr="00DD4CDB">
              <w:rPr>
                <w:rFonts w:ascii="&amp;quot" w:eastAsia="Times New Roman" w:hAnsi="&amp;quot" w:cs="Times New Roman"/>
                <w:color w:val="000000"/>
                <w:lang w:eastAsia="tr-TR"/>
              </w:rPr>
              <w:t xml:space="preserve">6 </w:t>
            </w:r>
            <w:proofErr w:type="spellStart"/>
            <w:r w:rsidRPr="00DD4CDB">
              <w:rPr>
                <w:rFonts w:ascii="&amp;quot" w:eastAsia="Times New Roman" w:hAnsi="&amp;quot" w:cs="Times New Roman"/>
                <w:color w:val="000000"/>
                <w:lang w:eastAsia="tr-TR"/>
              </w:rPr>
              <w:t>ncı</w:t>
            </w:r>
            <w:proofErr w:type="spellEnd"/>
            <w:proofErr w:type="gramEnd"/>
            <w:r w:rsidRPr="00DD4CDB">
              <w:rPr>
                <w:rFonts w:ascii="&amp;quot" w:eastAsia="Times New Roman" w:hAnsi="&amp;quot" w:cs="Times New Roman"/>
                <w:color w:val="000000"/>
                <w:lang w:eastAsia="tr-TR"/>
              </w:rPr>
              <w:t xml:space="preserve"> maddede belirtilen belge ve bilgilerle birlikte başvuruda bulunulur. Başvuru, </w:t>
            </w:r>
            <w:proofErr w:type="gramStart"/>
            <w:r w:rsidRPr="00DD4CDB">
              <w:rPr>
                <w:rFonts w:ascii="&amp;quot" w:eastAsia="Times New Roman" w:hAnsi="&amp;quot" w:cs="Times New Roman"/>
                <w:color w:val="000000"/>
                <w:lang w:eastAsia="tr-TR"/>
              </w:rPr>
              <w:t xml:space="preserve">7 </w:t>
            </w:r>
            <w:proofErr w:type="spellStart"/>
            <w:r w:rsidRPr="00DD4CDB">
              <w:rPr>
                <w:rFonts w:ascii="&amp;quot" w:eastAsia="Times New Roman" w:hAnsi="&amp;quot" w:cs="Times New Roman"/>
                <w:color w:val="000000"/>
                <w:lang w:eastAsia="tr-TR"/>
              </w:rPr>
              <w:t>nci</w:t>
            </w:r>
            <w:proofErr w:type="spellEnd"/>
            <w:proofErr w:type="gramEnd"/>
            <w:r w:rsidRPr="00DD4CDB">
              <w:rPr>
                <w:rFonts w:ascii="&amp;quot" w:eastAsia="Times New Roman" w:hAnsi="&amp;quot" w:cs="Times New Roman"/>
                <w:color w:val="000000"/>
                <w:lang w:eastAsia="tr-TR"/>
              </w:rPr>
              <w:t xml:space="preserve"> madde kapsamında değerlendirilerek uygun bulunması halinde izin süresi izleyen takvim yılını takip eden üçüncü yılın son gününe kadar uzatılır.</w:t>
            </w:r>
          </w:p>
          <w:p w14:paraId="18058492"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color w:val="000000"/>
                <w:lang w:eastAsia="tr-TR"/>
              </w:rPr>
              <w:t>(2) Yetkilendirilmiş Yükümlü Sertifikası sahipleri, sertifika geçerlilik süresince bu Tebliğ hükümlerinden yararlandırılırlar. Yetkilendirilmiş Yükümlü Sertifikasının askıya alınması, geri alınması ve iptal edilmesi hallerinde, belgenin askıya alındığı, geri alındığı veya iptal edildiği tarih itibarıyla Yetkilendirilmiş Yükümlü Sertifikası sahipleri bu Tebliğ hükümlerinden faydalanamaz.</w:t>
            </w:r>
          </w:p>
          <w:p w14:paraId="26BB8AFD"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color w:val="000000"/>
                <w:lang w:eastAsia="tr-TR"/>
              </w:rPr>
              <w:t>(3) Bu Tebliğ kapsamında verilen izin, aşağıdaki hallerde iptal edilir:</w:t>
            </w:r>
          </w:p>
          <w:p w14:paraId="03CFDD5C"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color w:val="000000"/>
                <w:lang w:eastAsia="tr-TR"/>
              </w:rPr>
              <w:t>a) İznin, izin sahibinin başvuru sırasında verdiği yanlış veya eksik bilgi ya da belgeye dayanılarak verildiğinin tespit edilmesi.</w:t>
            </w:r>
          </w:p>
          <w:p w14:paraId="586BD6E8"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color w:val="000000"/>
                <w:lang w:eastAsia="tr-TR"/>
              </w:rPr>
              <w:t xml:space="preserve">b) </w:t>
            </w:r>
            <w:proofErr w:type="gramStart"/>
            <w:r w:rsidRPr="00DD4CDB">
              <w:rPr>
                <w:rFonts w:ascii="&amp;quot" w:eastAsia="Times New Roman" w:hAnsi="&amp;quot" w:cs="Times New Roman"/>
                <w:color w:val="000000"/>
                <w:lang w:eastAsia="tr-TR"/>
              </w:rPr>
              <w:t>4 üncü</w:t>
            </w:r>
            <w:proofErr w:type="gramEnd"/>
            <w:r w:rsidRPr="00DD4CDB">
              <w:rPr>
                <w:rFonts w:ascii="&amp;quot" w:eastAsia="Times New Roman" w:hAnsi="&amp;quot" w:cs="Times New Roman"/>
                <w:color w:val="000000"/>
                <w:lang w:eastAsia="tr-TR"/>
              </w:rPr>
              <w:t xml:space="preserve"> maddenin birinci fıkrasının (a), (b), (c) ve (f) bentlerinde sayılan koşulların kaybedildiğinin tespit edilmesi.</w:t>
            </w:r>
          </w:p>
          <w:p w14:paraId="3C205CDF" w14:textId="06FDAC38" w:rsid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color w:val="000000"/>
                <w:lang w:eastAsia="tr-TR"/>
              </w:rPr>
              <w:t>c) İzin sahibinin bu Tebliğ kapsamındaki taahhütlerine aykırı hareket ettiğinin ve/veya bu Tebliğ kapsamındaki işlemlerine ilişkin ciddi ihlal ve usulsüzlüklerin tespit edilmesi.”</w:t>
            </w:r>
          </w:p>
          <w:p w14:paraId="4CC4A0EE" w14:textId="77777777" w:rsidR="00DD4CDB" w:rsidRDefault="00DD4CDB" w:rsidP="00DD4CDB">
            <w:pPr>
              <w:spacing w:after="0" w:line="240" w:lineRule="atLeast"/>
              <w:ind w:firstLine="566"/>
              <w:jc w:val="both"/>
              <w:rPr>
                <w:rFonts w:ascii="&amp;quot" w:eastAsia="Times New Roman" w:hAnsi="&amp;quot" w:cs="Times New Roman"/>
                <w:color w:val="000000"/>
                <w:lang w:eastAsia="tr-TR"/>
              </w:rPr>
            </w:pPr>
          </w:p>
          <w:p w14:paraId="4097A1A4"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b/>
                <w:bCs/>
                <w:color w:val="000000"/>
                <w:lang w:eastAsia="tr-TR"/>
              </w:rPr>
              <w:t xml:space="preserve">MADDE 7 – </w:t>
            </w:r>
            <w:r w:rsidRPr="00DD4CDB">
              <w:rPr>
                <w:rFonts w:ascii="&amp;quot" w:eastAsia="Times New Roman" w:hAnsi="&amp;quot" w:cs="Times New Roman"/>
                <w:color w:val="000000"/>
                <w:lang w:eastAsia="tr-TR"/>
              </w:rPr>
              <w:t>Aynı Tebliğin 11 inci maddesinin üçüncü fıkrası aşağıdaki şekilde değiştirilmiş ve aynı maddenin beşinci fıkrası yürürlükten kaldırılmıştır.</w:t>
            </w:r>
          </w:p>
          <w:p w14:paraId="1420E720"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color w:val="000000"/>
                <w:lang w:eastAsia="tr-TR"/>
              </w:rPr>
              <w:t>“(3) Bu Tebliğ kapsamında işlem gören gümrük beyannamesine konu eşya veya konteynerin boşaltma listesinde bulunmaması halinde söz konusu beyanname yükümlü talebine istinaden Kanun ve Yönetmeliğin ilgili hükümleri çerçevesinde iptal edilir.”</w:t>
            </w:r>
          </w:p>
          <w:p w14:paraId="4D4F623C"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b/>
                <w:bCs/>
                <w:color w:val="000000"/>
                <w:lang w:eastAsia="tr-TR"/>
              </w:rPr>
              <w:lastRenderedPageBreak/>
              <w:t xml:space="preserve">MADDE 8 – </w:t>
            </w:r>
            <w:r w:rsidRPr="00DD4CDB">
              <w:rPr>
                <w:rFonts w:ascii="&amp;quot" w:eastAsia="Times New Roman" w:hAnsi="&amp;quot" w:cs="Times New Roman"/>
                <w:color w:val="000000"/>
                <w:lang w:eastAsia="tr-TR"/>
              </w:rPr>
              <w:t xml:space="preserve">Aynı Tebliğin </w:t>
            </w:r>
            <w:proofErr w:type="gramStart"/>
            <w:r w:rsidRPr="00DD4CDB">
              <w:rPr>
                <w:rFonts w:ascii="&amp;quot" w:eastAsia="Times New Roman" w:hAnsi="&amp;quot" w:cs="Times New Roman"/>
                <w:color w:val="000000"/>
                <w:lang w:eastAsia="tr-TR"/>
              </w:rPr>
              <w:t xml:space="preserve">12 </w:t>
            </w:r>
            <w:proofErr w:type="spellStart"/>
            <w:r w:rsidRPr="00DD4CDB">
              <w:rPr>
                <w:rFonts w:ascii="&amp;quot" w:eastAsia="Times New Roman" w:hAnsi="&amp;quot" w:cs="Times New Roman"/>
                <w:color w:val="000000"/>
                <w:lang w:eastAsia="tr-TR"/>
              </w:rPr>
              <w:t>nci</w:t>
            </w:r>
            <w:proofErr w:type="spellEnd"/>
            <w:proofErr w:type="gramEnd"/>
            <w:r w:rsidRPr="00DD4CDB">
              <w:rPr>
                <w:rFonts w:ascii="&amp;quot" w:eastAsia="Times New Roman" w:hAnsi="&amp;quot" w:cs="Times New Roman"/>
                <w:color w:val="000000"/>
                <w:lang w:eastAsia="tr-TR"/>
              </w:rPr>
              <w:t xml:space="preserve"> maddesi aşağıdaki şekilde değiştirilmiştir.</w:t>
            </w:r>
          </w:p>
          <w:p w14:paraId="797866B1"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color w:val="000000"/>
                <w:lang w:eastAsia="tr-TR"/>
              </w:rPr>
              <w:t>“</w:t>
            </w:r>
            <w:r w:rsidRPr="00DD4CDB">
              <w:rPr>
                <w:rFonts w:ascii="&amp;quot" w:eastAsia="Times New Roman" w:hAnsi="&amp;quot" w:cs="Times New Roman"/>
                <w:b/>
                <w:bCs/>
                <w:color w:val="000000"/>
                <w:lang w:eastAsia="tr-TR"/>
              </w:rPr>
              <w:t xml:space="preserve">MADDE 12 – </w:t>
            </w:r>
            <w:r w:rsidRPr="00DD4CDB">
              <w:rPr>
                <w:rFonts w:ascii="&amp;quot" w:eastAsia="Times New Roman" w:hAnsi="&amp;quot" w:cs="Times New Roman"/>
                <w:color w:val="000000"/>
                <w:lang w:eastAsia="tr-TR"/>
              </w:rPr>
              <w:t>(1) İzin kapsamında gümrük beyannamesine konu edilen özet beyanın ilgili satırında varış bildirimi verilinceye kadar değişiklik yapılması veya özet beyanın iptali halinde tescil edilmiş olan beyanname, yükümlü talebine istinaden, Kanun ve Yönetmeliğin ilgili hükümleri çerçevesinde iptal edilir ya da beyannamede idare tarafından gerekli düzeltmeler yapılarak beyanname işlemleri ikmal edilir.</w:t>
            </w:r>
          </w:p>
          <w:p w14:paraId="1B089EC5" w14:textId="2E5EBA55" w:rsid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color w:val="000000"/>
                <w:lang w:eastAsia="tr-TR"/>
              </w:rPr>
              <w:t>(2) Birinci fıkra kapsamında iptal edilen gümrük beyannamesine ilişkin ödenmiş bir vergi bulunması halinde Kanun ve Yönetmeliğin geri verme hükümlerine göre işlem yapılır.”</w:t>
            </w:r>
          </w:p>
          <w:p w14:paraId="031F09A0"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p>
          <w:p w14:paraId="34BFB8D2"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b/>
                <w:bCs/>
                <w:color w:val="000000"/>
                <w:lang w:eastAsia="tr-TR"/>
              </w:rPr>
              <w:t>MADDE 9 –</w:t>
            </w:r>
            <w:r w:rsidRPr="00DD4CDB">
              <w:rPr>
                <w:rFonts w:ascii="&amp;quot" w:eastAsia="Times New Roman" w:hAnsi="&amp;quot" w:cs="Times New Roman"/>
                <w:color w:val="000000"/>
                <w:lang w:eastAsia="tr-TR"/>
              </w:rPr>
              <w:t xml:space="preserve"> Aynı Tebliğin </w:t>
            </w:r>
            <w:proofErr w:type="gramStart"/>
            <w:r w:rsidRPr="00DD4CDB">
              <w:rPr>
                <w:rFonts w:ascii="&amp;quot" w:eastAsia="Times New Roman" w:hAnsi="&amp;quot" w:cs="Times New Roman"/>
                <w:color w:val="000000"/>
                <w:lang w:eastAsia="tr-TR"/>
              </w:rPr>
              <w:t>13 üncü</w:t>
            </w:r>
            <w:proofErr w:type="gramEnd"/>
            <w:r w:rsidRPr="00DD4CDB">
              <w:rPr>
                <w:rFonts w:ascii="&amp;quot" w:eastAsia="Times New Roman" w:hAnsi="&amp;quot" w:cs="Times New Roman"/>
                <w:color w:val="000000"/>
                <w:lang w:eastAsia="tr-TR"/>
              </w:rPr>
              <w:t xml:space="preserve"> maddesinin birinci fıkrası aşağıdaki şekilde değiştirilmiştir.</w:t>
            </w:r>
          </w:p>
          <w:p w14:paraId="3A220E2E" w14:textId="58C1022F" w:rsid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color w:val="000000"/>
                <w:lang w:eastAsia="tr-TR"/>
              </w:rPr>
              <w:t xml:space="preserve">“(1) </w:t>
            </w:r>
            <w:proofErr w:type="gramStart"/>
            <w:r w:rsidRPr="00DD4CDB">
              <w:rPr>
                <w:rFonts w:ascii="&amp;quot" w:eastAsia="Times New Roman" w:hAnsi="&amp;quot" w:cs="Times New Roman"/>
                <w:color w:val="000000"/>
                <w:lang w:eastAsia="tr-TR"/>
              </w:rPr>
              <w:t>Sarı</w:t>
            </w:r>
            <w:proofErr w:type="gramEnd"/>
            <w:r w:rsidRPr="00DD4CDB">
              <w:rPr>
                <w:rFonts w:ascii="&amp;quot" w:eastAsia="Times New Roman" w:hAnsi="&amp;quot" w:cs="Times New Roman"/>
                <w:color w:val="000000"/>
                <w:lang w:eastAsia="tr-TR"/>
              </w:rPr>
              <w:t xml:space="preserve"> ve yeşil hatta işlem gören gümrük beyannamesi kapsamı eşyanın BİLGE sisteminde geçici depolama giriş-çıkış kaydı yapılmaz. Havayolu taşımacılığının gereği olarak geçici depolama yerine alınan eşyanın teslimine ilişkin işlemler Bakanlıkça belirlenir.”</w:t>
            </w:r>
          </w:p>
          <w:p w14:paraId="7F7DB4B7"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p>
          <w:p w14:paraId="4786D5E6"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b/>
                <w:bCs/>
                <w:color w:val="000000"/>
                <w:lang w:eastAsia="tr-TR"/>
              </w:rPr>
              <w:t>MADDE 10 –</w:t>
            </w:r>
            <w:r w:rsidRPr="00DD4CDB">
              <w:rPr>
                <w:rFonts w:ascii="&amp;quot" w:eastAsia="Times New Roman" w:hAnsi="&amp;quot" w:cs="Times New Roman"/>
                <w:color w:val="000000"/>
                <w:lang w:eastAsia="tr-TR"/>
              </w:rPr>
              <w:t xml:space="preserve"> Aynı Tebliğin </w:t>
            </w:r>
            <w:proofErr w:type="gramStart"/>
            <w:r w:rsidRPr="00DD4CDB">
              <w:rPr>
                <w:rFonts w:ascii="&amp;quot" w:eastAsia="Times New Roman" w:hAnsi="&amp;quot" w:cs="Times New Roman"/>
                <w:color w:val="000000"/>
                <w:lang w:eastAsia="tr-TR"/>
              </w:rPr>
              <w:t>14 üncü</w:t>
            </w:r>
            <w:proofErr w:type="gramEnd"/>
            <w:r w:rsidRPr="00DD4CDB">
              <w:rPr>
                <w:rFonts w:ascii="&amp;quot" w:eastAsia="Times New Roman" w:hAnsi="&amp;quot" w:cs="Times New Roman"/>
                <w:color w:val="000000"/>
                <w:lang w:eastAsia="tr-TR"/>
              </w:rPr>
              <w:t xml:space="preserve"> maddesinin birinci fıkrasına aşağıdaki cümle eklenmiştir.</w:t>
            </w:r>
          </w:p>
          <w:p w14:paraId="1AC8B492" w14:textId="148ADA0D" w:rsidR="00DD4CDB" w:rsidRDefault="00DD4CDB" w:rsidP="00DD4CDB">
            <w:pPr>
              <w:spacing w:after="0" w:line="240" w:lineRule="atLeast"/>
              <w:jc w:val="both"/>
              <w:rPr>
                <w:rFonts w:ascii="&amp;quot" w:eastAsia="Times New Roman" w:hAnsi="&amp;quot" w:cs="Times New Roman"/>
                <w:color w:val="000000"/>
                <w:lang w:eastAsia="tr-TR"/>
              </w:rPr>
            </w:pPr>
            <w:r w:rsidRPr="00DD4CDB">
              <w:rPr>
                <w:rFonts w:ascii="&amp;quot" w:eastAsia="Times New Roman" w:hAnsi="&amp;quot" w:cs="Times New Roman"/>
                <w:color w:val="000000"/>
                <w:lang w:eastAsia="tr-TR"/>
              </w:rPr>
              <w:t>“Havayolu taşımacılığında vergilerin ödenmesi veya teminata bağlanması varış bildiriminden sonra da gerçekleştirilebilir.”</w:t>
            </w:r>
          </w:p>
          <w:p w14:paraId="2DDBEB15" w14:textId="77777777" w:rsidR="00DD4CDB" w:rsidRPr="00DD4CDB" w:rsidRDefault="00DD4CDB" w:rsidP="00DD4CDB">
            <w:pPr>
              <w:spacing w:after="0" w:line="240" w:lineRule="atLeast"/>
              <w:jc w:val="both"/>
              <w:rPr>
                <w:rFonts w:ascii="&amp;quot" w:eastAsia="Times New Roman" w:hAnsi="&amp;quot" w:cs="Times New Roman"/>
                <w:color w:val="000000"/>
                <w:lang w:eastAsia="tr-TR"/>
              </w:rPr>
            </w:pPr>
          </w:p>
          <w:p w14:paraId="20C3FA9D"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b/>
                <w:bCs/>
                <w:color w:val="000000"/>
                <w:lang w:eastAsia="tr-TR"/>
              </w:rPr>
              <w:t>MADDE 11 –</w:t>
            </w:r>
            <w:r w:rsidRPr="00DD4CDB">
              <w:rPr>
                <w:rFonts w:ascii="&amp;quot" w:eastAsia="Times New Roman" w:hAnsi="&amp;quot" w:cs="Times New Roman"/>
                <w:color w:val="000000"/>
                <w:lang w:eastAsia="tr-TR"/>
              </w:rPr>
              <w:t xml:space="preserve"> Aynı Tebliğin 15 inci maddesi aşağıdaki şekilde değiştirilmiştir.</w:t>
            </w:r>
          </w:p>
          <w:p w14:paraId="19722E02"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color w:val="000000"/>
                <w:lang w:eastAsia="tr-TR"/>
              </w:rPr>
              <w:t>“</w:t>
            </w:r>
            <w:r w:rsidRPr="00DD4CDB">
              <w:rPr>
                <w:rFonts w:ascii="&amp;quot" w:eastAsia="Times New Roman" w:hAnsi="&amp;quot" w:cs="Times New Roman"/>
                <w:b/>
                <w:bCs/>
                <w:color w:val="000000"/>
                <w:lang w:eastAsia="tr-TR"/>
              </w:rPr>
              <w:t>MADDE 15 –</w:t>
            </w:r>
            <w:r w:rsidRPr="00DD4CDB">
              <w:rPr>
                <w:rFonts w:ascii="&amp;quot" w:eastAsia="Times New Roman" w:hAnsi="&amp;quot" w:cs="Times New Roman"/>
                <w:color w:val="000000"/>
                <w:lang w:eastAsia="tr-TR"/>
              </w:rPr>
              <w:t xml:space="preserve"> (1) </w:t>
            </w:r>
            <w:proofErr w:type="gramStart"/>
            <w:r w:rsidRPr="00DD4CDB">
              <w:rPr>
                <w:rFonts w:ascii="&amp;quot" w:eastAsia="Times New Roman" w:hAnsi="&amp;quot" w:cs="Times New Roman"/>
                <w:color w:val="000000"/>
                <w:lang w:eastAsia="tr-TR"/>
              </w:rPr>
              <w:t>14 üncü</w:t>
            </w:r>
            <w:proofErr w:type="gramEnd"/>
            <w:r w:rsidRPr="00DD4CDB">
              <w:rPr>
                <w:rFonts w:ascii="&amp;quot" w:eastAsia="Times New Roman" w:hAnsi="&amp;quot" w:cs="Times New Roman"/>
                <w:color w:val="000000"/>
                <w:lang w:eastAsia="tr-TR"/>
              </w:rPr>
              <w:t xml:space="preserve"> madde kapsamında serbest dolaşıma giriş rejiminde kapanmış, dahilde işleme rejiminde kapatılabilir statüye gelen beyannameye ilişkin olarak;</w:t>
            </w:r>
          </w:p>
          <w:p w14:paraId="4C5BB574"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color w:val="000000"/>
                <w:lang w:eastAsia="tr-TR"/>
              </w:rPr>
              <w:t>a) Denizyolu konteyner taşımacılığında eşyanın bulunduğu konteynerlerin,</w:t>
            </w:r>
          </w:p>
          <w:p w14:paraId="754CFBDA"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color w:val="000000"/>
                <w:lang w:eastAsia="tr-TR"/>
              </w:rPr>
              <w:t>b) Havayolu taşımacılığında ise eşya veya eşyanın bulunduğu kapların,</w:t>
            </w:r>
          </w:p>
          <w:p w14:paraId="2566DCCC" w14:textId="68D64D9B" w:rsidR="00DD4CDB" w:rsidRDefault="00DD4CDB" w:rsidP="00DD4CDB">
            <w:pPr>
              <w:spacing w:after="0" w:line="240" w:lineRule="atLeast"/>
              <w:ind w:firstLine="566"/>
              <w:jc w:val="both"/>
              <w:rPr>
                <w:rFonts w:ascii="&amp;quot" w:eastAsia="Times New Roman" w:hAnsi="&amp;quot" w:cs="Times New Roman"/>
                <w:color w:val="000000"/>
                <w:lang w:eastAsia="tr-TR"/>
              </w:rPr>
            </w:pPr>
            <w:proofErr w:type="gramStart"/>
            <w:r w:rsidRPr="00DD4CDB">
              <w:rPr>
                <w:rFonts w:ascii="&amp;quot" w:eastAsia="Times New Roman" w:hAnsi="&amp;quot" w:cs="Times New Roman"/>
                <w:color w:val="000000"/>
                <w:lang w:eastAsia="tr-TR"/>
              </w:rPr>
              <w:t>saha</w:t>
            </w:r>
            <w:proofErr w:type="gramEnd"/>
            <w:r w:rsidRPr="00DD4CDB">
              <w:rPr>
                <w:rFonts w:ascii="&amp;quot" w:eastAsia="Times New Roman" w:hAnsi="&amp;quot" w:cs="Times New Roman"/>
                <w:color w:val="000000"/>
                <w:lang w:eastAsia="tr-TR"/>
              </w:rPr>
              <w:t xml:space="preserve"> ve geçici depolama yeri çıkışı yapılır.”</w:t>
            </w:r>
          </w:p>
          <w:p w14:paraId="006C305E"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p>
          <w:p w14:paraId="763148A9"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b/>
                <w:bCs/>
                <w:color w:val="000000"/>
                <w:lang w:eastAsia="tr-TR"/>
              </w:rPr>
              <w:t xml:space="preserve">MADDE 12 – </w:t>
            </w:r>
            <w:r w:rsidRPr="00DD4CDB">
              <w:rPr>
                <w:rFonts w:ascii="&amp;quot" w:eastAsia="Times New Roman" w:hAnsi="&amp;quot" w:cs="Times New Roman"/>
                <w:color w:val="000000"/>
                <w:lang w:eastAsia="tr-TR"/>
              </w:rPr>
              <w:t xml:space="preserve">Aynı Tebliğin </w:t>
            </w:r>
            <w:proofErr w:type="gramStart"/>
            <w:r w:rsidRPr="00DD4CDB">
              <w:rPr>
                <w:rFonts w:ascii="&amp;quot" w:eastAsia="Times New Roman" w:hAnsi="&amp;quot" w:cs="Times New Roman"/>
                <w:color w:val="000000"/>
                <w:lang w:eastAsia="tr-TR"/>
              </w:rPr>
              <w:t xml:space="preserve">17 </w:t>
            </w:r>
            <w:proofErr w:type="spellStart"/>
            <w:r w:rsidRPr="00DD4CDB">
              <w:rPr>
                <w:rFonts w:ascii="&amp;quot" w:eastAsia="Times New Roman" w:hAnsi="&amp;quot" w:cs="Times New Roman"/>
                <w:color w:val="000000"/>
                <w:lang w:eastAsia="tr-TR"/>
              </w:rPr>
              <w:t>nci</w:t>
            </w:r>
            <w:proofErr w:type="spellEnd"/>
            <w:proofErr w:type="gramEnd"/>
            <w:r w:rsidRPr="00DD4CDB">
              <w:rPr>
                <w:rFonts w:ascii="&amp;quot" w:eastAsia="Times New Roman" w:hAnsi="&amp;quot" w:cs="Times New Roman"/>
                <w:color w:val="000000"/>
                <w:lang w:eastAsia="tr-TR"/>
              </w:rPr>
              <w:t xml:space="preserve"> maddesi aşağıdaki şekilde değiştirilmiştir.</w:t>
            </w:r>
          </w:p>
          <w:p w14:paraId="5BBD7155" w14:textId="51883FB1" w:rsid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color w:val="000000"/>
                <w:lang w:eastAsia="tr-TR"/>
              </w:rPr>
              <w:t>“</w:t>
            </w:r>
            <w:r w:rsidRPr="00DD4CDB">
              <w:rPr>
                <w:rFonts w:ascii="&amp;quot" w:eastAsia="Times New Roman" w:hAnsi="&amp;quot" w:cs="Times New Roman"/>
                <w:b/>
                <w:bCs/>
                <w:color w:val="000000"/>
                <w:lang w:eastAsia="tr-TR"/>
              </w:rPr>
              <w:t xml:space="preserve">MADDE 17 – </w:t>
            </w:r>
            <w:r w:rsidRPr="00DD4CDB">
              <w:rPr>
                <w:rFonts w:ascii="&amp;quot" w:eastAsia="Times New Roman" w:hAnsi="&amp;quot" w:cs="Times New Roman"/>
                <w:color w:val="000000"/>
                <w:lang w:eastAsia="tr-TR"/>
              </w:rPr>
              <w:t>(1) Genel Müdürlük, bu Tebliğin uygulanmasına ilişkin gerekli göreceği her türlü tedbiri almaya, özel ve zorunlu durumlar ile bu Tebliğde yer almayan hususları inceleyip sonuçlandırmaya yetkilidir.”</w:t>
            </w:r>
          </w:p>
          <w:p w14:paraId="73005652"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p>
          <w:p w14:paraId="0DB1A020" w14:textId="6EFC781B" w:rsidR="00DD4CDB" w:rsidRDefault="00DD4CDB" w:rsidP="00DD4CDB">
            <w:pPr>
              <w:spacing w:after="0" w:line="240" w:lineRule="atLeast"/>
              <w:ind w:firstLine="566"/>
              <w:jc w:val="both"/>
              <w:rPr>
                <w:rFonts w:ascii="&amp;quot" w:eastAsia="Times New Roman" w:hAnsi="&amp;quot" w:cs="Times New Roman"/>
                <w:color w:val="000000"/>
                <w:lang w:eastAsia="tr-TR"/>
              </w:rPr>
            </w:pPr>
            <w:r w:rsidRPr="00DD4CDB">
              <w:rPr>
                <w:rFonts w:ascii="&amp;quot" w:eastAsia="Times New Roman" w:hAnsi="&amp;quot" w:cs="Times New Roman"/>
                <w:b/>
                <w:bCs/>
                <w:color w:val="000000"/>
                <w:lang w:eastAsia="tr-TR"/>
              </w:rPr>
              <w:t>MADDE 13 –</w:t>
            </w:r>
            <w:r w:rsidRPr="00DD4CDB">
              <w:rPr>
                <w:rFonts w:ascii="&amp;quot" w:eastAsia="Times New Roman" w:hAnsi="&amp;quot" w:cs="Times New Roman"/>
                <w:color w:val="000000"/>
                <w:lang w:eastAsia="tr-TR"/>
              </w:rPr>
              <w:t xml:space="preserve"> Bu Tebliğ yayımını takip eden 30 uncu gün yürürlüğe girer.</w:t>
            </w:r>
          </w:p>
          <w:p w14:paraId="6698886F" w14:textId="77777777" w:rsidR="00DD4CDB" w:rsidRPr="00DD4CDB" w:rsidRDefault="00DD4CDB" w:rsidP="00DD4CDB">
            <w:pPr>
              <w:spacing w:after="0" w:line="240" w:lineRule="atLeast"/>
              <w:ind w:firstLine="566"/>
              <w:jc w:val="both"/>
              <w:rPr>
                <w:rFonts w:ascii="&amp;quot" w:eastAsia="Times New Roman" w:hAnsi="&amp;quot" w:cs="Times New Roman"/>
                <w:color w:val="000000"/>
                <w:lang w:eastAsia="tr-TR"/>
              </w:rPr>
            </w:pPr>
          </w:p>
          <w:p w14:paraId="7258A1B8" w14:textId="04B7086F" w:rsidR="00DD4CDB" w:rsidRDefault="00DD4CDB" w:rsidP="00DD4CDB">
            <w:pPr>
              <w:spacing w:after="100" w:line="240" w:lineRule="atLeast"/>
              <w:ind w:firstLine="567"/>
              <w:jc w:val="both"/>
              <w:rPr>
                <w:rFonts w:ascii="&amp;quot" w:eastAsia="Times New Roman" w:hAnsi="&amp;quot" w:cs="Times New Roman"/>
                <w:color w:val="000000"/>
                <w:lang w:eastAsia="tr-TR"/>
              </w:rPr>
            </w:pPr>
            <w:r w:rsidRPr="00DD4CDB">
              <w:rPr>
                <w:rFonts w:ascii="&amp;quot" w:eastAsia="Times New Roman" w:hAnsi="&amp;quot" w:cs="Times New Roman"/>
                <w:b/>
                <w:bCs/>
                <w:color w:val="000000"/>
                <w:lang w:eastAsia="tr-TR"/>
              </w:rPr>
              <w:t>MADDE 14 –</w:t>
            </w:r>
            <w:r w:rsidRPr="00DD4CDB">
              <w:rPr>
                <w:rFonts w:ascii="&amp;quot" w:eastAsia="Times New Roman" w:hAnsi="&amp;quot" w:cs="Times New Roman"/>
                <w:color w:val="000000"/>
                <w:lang w:eastAsia="tr-TR"/>
              </w:rPr>
              <w:t xml:space="preserve"> Bu Tebliğ hükümlerini Ticaret Bakanı yürütür.</w:t>
            </w:r>
          </w:p>
          <w:p w14:paraId="7CCB3255" w14:textId="77777777" w:rsidR="00DD4CDB" w:rsidRPr="00DD4CDB" w:rsidRDefault="00DD4CDB" w:rsidP="00DD4CDB">
            <w:pPr>
              <w:spacing w:after="100" w:line="240" w:lineRule="atLeast"/>
              <w:ind w:firstLine="567"/>
              <w:jc w:val="both"/>
              <w:rPr>
                <w:rFonts w:ascii="&amp;quot" w:eastAsia="Times New Roman" w:hAnsi="&amp;quot" w:cs="Times New Roman"/>
                <w:color w:val="000000"/>
                <w:lang w:eastAsia="tr-TR"/>
              </w:rPr>
            </w:pPr>
          </w:p>
          <w:tbl>
            <w:tblPr>
              <w:tblW w:w="8505" w:type="dxa"/>
              <w:jc w:val="center"/>
              <w:tblCellMar>
                <w:left w:w="0" w:type="dxa"/>
                <w:right w:w="0" w:type="dxa"/>
              </w:tblCellMar>
              <w:tblLook w:val="04A0" w:firstRow="1" w:lastRow="0" w:firstColumn="1" w:lastColumn="0" w:noHBand="0" w:noVBand="1"/>
            </w:tblPr>
            <w:tblGrid>
              <w:gridCol w:w="4254"/>
              <w:gridCol w:w="4251"/>
            </w:tblGrid>
            <w:tr w:rsidR="00DD4CDB" w:rsidRPr="00DD4CDB" w14:paraId="54E62489" w14:textId="77777777">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4D411597" w14:textId="77777777" w:rsidR="00DD4CDB" w:rsidRPr="00DD4CDB" w:rsidRDefault="00DD4CDB" w:rsidP="00DD4CDB">
                  <w:pPr>
                    <w:spacing w:before="100" w:beforeAutospacing="1" w:after="100" w:afterAutospacing="1" w:line="240" w:lineRule="atLeast"/>
                    <w:jc w:val="center"/>
                    <w:rPr>
                      <w:rFonts w:ascii="&amp;quot" w:eastAsia="Times New Roman" w:hAnsi="&amp;quot" w:cs="Times New Roman"/>
                      <w:lang w:eastAsia="tr-TR"/>
                    </w:rPr>
                  </w:pPr>
                  <w:r w:rsidRPr="00DD4CDB">
                    <w:rPr>
                      <w:rFonts w:ascii="&amp;quot" w:eastAsia="Times New Roman" w:hAnsi="&amp;quot" w:cs="Times New Roman"/>
                      <w:b/>
                      <w:bCs/>
                      <w:lang w:eastAsia="tr-TR"/>
                    </w:rPr>
                    <w:t>Tebliğin Yayımlandığı Resmî Gazete’nin</w:t>
                  </w:r>
                </w:p>
              </w:tc>
            </w:tr>
            <w:tr w:rsidR="00DD4CDB" w:rsidRPr="00DD4CDB" w14:paraId="7531CE00" w14:textId="77777777">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14:paraId="1C147E14" w14:textId="77777777" w:rsidR="00DD4CDB" w:rsidRPr="00DD4CDB" w:rsidRDefault="00DD4CDB" w:rsidP="00DD4CDB">
                  <w:pPr>
                    <w:spacing w:before="100" w:beforeAutospacing="1" w:after="100" w:afterAutospacing="1" w:line="240" w:lineRule="atLeast"/>
                    <w:jc w:val="center"/>
                    <w:rPr>
                      <w:rFonts w:ascii="&amp;quot" w:eastAsia="Times New Roman" w:hAnsi="&amp;quot" w:cs="Times New Roman"/>
                      <w:lang w:eastAsia="tr-TR"/>
                    </w:rPr>
                  </w:pPr>
                  <w:r w:rsidRPr="00DD4CDB">
                    <w:rPr>
                      <w:rFonts w:ascii="&amp;quot" w:eastAsia="Times New Roman" w:hAnsi="&amp;quot" w:cs="Times New Roman"/>
                      <w:b/>
                      <w:bCs/>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593584BB" w14:textId="77777777" w:rsidR="00DD4CDB" w:rsidRPr="00DD4CDB" w:rsidRDefault="00DD4CDB" w:rsidP="00DD4CDB">
                  <w:pPr>
                    <w:spacing w:before="100" w:beforeAutospacing="1" w:after="100" w:afterAutospacing="1" w:line="240" w:lineRule="atLeast"/>
                    <w:jc w:val="center"/>
                    <w:rPr>
                      <w:rFonts w:ascii="&amp;quot" w:eastAsia="Times New Roman" w:hAnsi="&amp;quot" w:cs="Times New Roman"/>
                      <w:lang w:eastAsia="tr-TR"/>
                    </w:rPr>
                  </w:pPr>
                  <w:r w:rsidRPr="00DD4CDB">
                    <w:rPr>
                      <w:rFonts w:ascii="&amp;quot" w:eastAsia="Times New Roman" w:hAnsi="&amp;quot" w:cs="Times New Roman"/>
                      <w:b/>
                      <w:bCs/>
                      <w:lang w:eastAsia="tr-TR"/>
                    </w:rPr>
                    <w:t>Sayısı</w:t>
                  </w:r>
                </w:p>
              </w:tc>
            </w:tr>
            <w:tr w:rsidR="00DD4CDB" w:rsidRPr="00DD4CDB" w14:paraId="63D9CEB9" w14:textId="77777777">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8CE90" w14:textId="77777777" w:rsidR="00DD4CDB" w:rsidRPr="00DD4CDB" w:rsidRDefault="00DD4CDB" w:rsidP="00DD4CDB">
                  <w:pPr>
                    <w:spacing w:before="100" w:beforeAutospacing="1" w:after="100" w:afterAutospacing="1" w:line="240" w:lineRule="atLeast"/>
                    <w:jc w:val="center"/>
                    <w:rPr>
                      <w:rFonts w:ascii="&amp;quot" w:eastAsia="Times New Roman" w:hAnsi="&amp;quot" w:cs="Times New Roman"/>
                      <w:lang w:eastAsia="tr-TR"/>
                    </w:rPr>
                  </w:pPr>
                  <w:r w:rsidRPr="00DD4CDB">
                    <w:rPr>
                      <w:rFonts w:ascii="&amp;quot" w:eastAsia="Times New Roman" w:hAnsi="&amp;quot" w:cs="Times New Roman"/>
                      <w:lang w:eastAsia="tr-TR"/>
                    </w:rPr>
                    <w:t>23/1/2019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56D927D4" w14:textId="77777777" w:rsidR="00DD4CDB" w:rsidRPr="00DD4CDB" w:rsidRDefault="00DD4CDB" w:rsidP="00DD4CDB">
                  <w:pPr>
                    <w:spacing w:before="100" w:beforeAutospacing="1" w:after="100" w:afterAutospacing="1" w:line="240" w:lineRule="atLeast"/>
                    <w:jc w:val="center"/>
                    <w:rPr>
                      <w:rFonts w:ascii="&amp;quot" w:eastAsia="Times New Roman" w:hAnsi="&amp;quot" w:cs="Times New Roman"/>
                      <w:lang w:eastAsia="tr-TR"/>
                    </w:rPr>
                  </w:pPr>
                  <w:r w:rsidRPr="00DD4CDB">
                    <w:rPr>
                      <w:rFonts w:ascii="&amp;quot" w:eastAsia="Times New Roman" w:hAnsi="&amp;quot" w:cs="Times New Roman"/>
                      <w:lang w:eastAsia="tr-TR"/>
                    </w:rPr>
                    <w:t>30664</w:t>
                  </w:r>
                </w:p>
              </w:tc>
            </w:tr>
          </w:tbl>
          <w:p w14:paraId="35DC7FD3" w14:textId="77777777" w:rsidR="00DD4CDB" w:rsidRPr="00DD4CDB" w:rsidRDefault="00DD4CDB" w:rsidP="00DD4CDB">
            <w:pPr>
              <w:spacing w:after="0" w:line="240" w:lineRule="auto"/>
              <w:jc w:val="center"/>
              <w:rPr>
                <w:rFonts w:ascii="Times New Roman" w:eastAsia="Times New Roman" w:hAnsi="Times New Roman" w:cs="Times New Roman"/>
                <w:color w:val="000000"/>
                <w:lang w:eastAsia="tr-TR"/>
              </w:rPr>
            </w:pPr>
          </w:p>
        </w:tc>
      </w:tr>
    </w:tbl>
    <w:p w14:paraId="057D6793" w14:textId="77777777" w:rsidR="005D69AC" w:rsidRDefault="005D69AC"/>
    <w:sectPr w:rsidR="005D69AC" w:rsidSect="00DD4CDB">
      <w:pgSz w:w="11906" w:h="16838"/>
      <w:pgMar w:top="1247" w:right="102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DB"/>
    <w:rsid w:val="005D69AC"/>
    <w:rsid w:val="00DD4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1BA1"/>
  <w15:chartTrackingRefBased/>
  <w15:docId w15:val="{665ECA00-0FCE-4928-B71D-8DCEF2B5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1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2021-04-15T05:51:00Z</dcterms:created>
  <dcterms:modified xsi:type="dcterms:W3CDTF">2021-04-15T05:58:00Z</dcterms:modified>
</cp:coreProperties>
</file>